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D2" w:rsidRPr="00061C69" w:rsidRDefault="00F67005">
      <w:pPr>
        <w:keepNext/>
        <w:shd w:val="clear" w:color="auto" w:fill="E6E6E6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18"/>
          <w:szCs w:val="18"/>
          <w:lang w:eastAsia="pl-PL"/>
        </w:rPr>
      </w:pPr>
      <w:r w:rsidRPr="00061C69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lang w:eastAsia="pl-PL"/>
        </w:rPr>
        <w:t xml:space="preserve">DA.322.2.2020  Załącznik </w:t>
      </w:r>
      <w:r w:rsidRPr="00061C69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18"/>
          <w:szCs w:val="18"/>
          <w:lang w:eastAsia="pl-PL"/>
        </w:rPr>
        <w:t>nr</w:t>
      </w:r>
      <w:r w:rsidR="00082AA1" w:rsidRPr="00061C69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18"/>
          <w:szCs w:val="18"/>
          <w:lang w:eastAsia="pl-PL"/>
        </w:rPr>
        <w:t xml:space="preserve"> 2</w:t>
      </w:r>
      <w:r w:rsidRPr="00061C69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18"/>
          <w:szCs w:val="18"/>
          <w:lang w:eastAsia="pl-PL"/>
        </w:rPr>
        <w:t xml:space="preserve"> do SIWZ                       Szczegółowy opis przedmiotu zamówienia</w:t>
      </w:r>
    </w:p>
    <w:p w:rsidR="00CE75D2" w:rsidRPr="00061C69" w:rsidRDefault="00CE75D2">
      <w:pPr>
        <w:rPr>
          <w:rFonts w:ascii="Verdana" w:hAnsi="Verdana"/>
          <w:color w:val="000000" w:themeColor="text1"/>
          <w:sz w:val="18"/>
          <w:szCs w:val="18"/>
        </w:rPr>
      </w:pPr>
    </w:p>
    <w:p w:rsidR="00CE75D2" w:rsidRPr="00061C69" w:rsidRDefault="00F67005">
      <w:pPr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061C6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Zadanie nr </w:t>
      </w:r>
      <w:r w:rsidR="00082AA1" w:rsidRPr="00061C69">
        <w:rPr>
          <w:rFonts w:ascii="Verdana" w:hAnsi="Verdana"/>
          <w:b/>
          <w:bCs/>
          <w:color w:val="000000" w:themeColor="text1"/>
          <w:sz w:val="18"/>
          <w:szCs w:val="18"/>
        </w:rPr>
        <w:t>2</w:t>
      </w:r>
      <w:r w:rsidRPr="00061C6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– Dostawa sprzętu do pracowni </w:t>
      </w:r>
      <w:r w:rsidR="00A25A4B" w:rsidRPr="00061C69">
        <w:rPr>
          <w:rFonts w:ascii="Verdana" w:hAnsi="Verdana"/>
          <w:b/>
          <w:bCs/>
          <w:color w:val="000000" w:themeColor="text1"/>
          <w:sz w:val="18"/>
          <w:szCs w:val="18"/>
        </w:rPr>
        <w:t>gastronomicznych</w:t>
      </w:r>
    </w:p>
    <w:p w:rsidR="00B97F3D" w:rsidRDefault="00B97F3D" w:rsidP="00B97F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zawiera minimalne techniczne zamawianego sprzętu.</w:t>
      </w:r>
    </w:p>
    <w:p w:rsidR="00CE75D2" w:rsidRPr="00061C69" w:rsidRDefault="00F67005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061C69">
        <w:rPr>
          <w:rFonts w:ascii="Arial" w:hAnsi="Arial" w:cs="Arial"/>
          <w:b/>
          <w:bCs/>
          <w:color w:val="000000" w:themeColor="text1"/>
          <w:sz w:val="20"/>
          <w:szCs w:val="20"/>
        </w:rPr>
        <w:t>Przedmiot zamówienia będzie wykorzystywany do celów edukacyjnych, o czym Zamawiający poinformuje Wykonawcę w odrębnym oświadczeniu dla potrzeb podatku od towarów i usług wystawionym dla Wykonawcy przed podpisaniem umowy, przez organ prowadzący.</w:t>
      </w:r>
    </w:p>
    <w:tbl>
      <w:tblPr>
        <w:tblStyle w:val="Tabela-Siatka"/>
        <w:tblW w:w="13575" w:type="dxa"/>
        <w:tblLook w:val="04A0" w:firstRow="1" w:lastRow="0" w:firstColumn="1" w:lastColumn="0" w:noHBand="0" w:noVBand="1"/>
      </w:tblPr>
      <w:tblGrid>
        <w:gridCol w:w="671"/>
        <w:gridCol w:w="2692"/>
        <w:gridCol w:w="8790"/>
        <w:gridCol w:w="1422"/>
      </w:tblGrid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RODZAJ TOWARU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 PARAMETRÓW </w:t>
            </w: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61C69">
              <w:rPr>
                <w:color w:val="000000" w:themeColor="text1"/>
              </w:rPr>
              <w:t>Mikser ubijaczka (mikser planetarny)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Wymiary: długość  410 mm, szerokość 340 mm, wysokość</w:t>
            </w:r>
            <w:r w:rsidRPr="00061C69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260 mm</w:t>
            </w:r>
            <w:r w:rsidR="00A25A4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każdego z wymiarów +/-  do 20%)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Pojemność</w:t>
            </w:r>
            <w:r w:rsidR="00A25A4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minimalna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: 5 l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Moc całkowita</w:t>
            </w:r>
            <w:r w:rsidR="00A25A4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minimum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0,315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kw</w:t>
            </w:r>
            <w:proofErr w:type="spellEnd"/>
          </w:p>
          <w:p w:rsidR="00CE75D2" w:rsidRPr="00061C69" w:rsidRDefault="00F67005" w:rsidP="00D66FB6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Waga:  12 kg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wagi +/-  do 20%)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Materiał: – tworzywo sztuczne – cynk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Zasilanie elektryczne, napięcie 230V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Opis: 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misa metalowa,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osłona z podajnikiem wykonana z plastiku, korpus - odlew cynkowy, </w:t>
            </w:r>
            <w:r w:rsidR="00A25A4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automatyczna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regulacja prędkości,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misa metalowa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Wyposażenie</w:t>
            </w:r>
            <w:r w:rsidR="00A25A4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minimalne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: rózga, hak spiralny, mieszadło płaskie, dzieża 5 l ze zdejmowanym podajnikiem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eastAsia="Calibri" w:hAnsi="Verdana"/>
                <w:color w:val="000000" w:themeColor="text1"/>
                <w:sz w:val="18"/>
                <w:szCs w:val="18"/>
              </w:rPr>
              <w:t>Urządzenie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  posiadać zgodność z obowiązującymi normami potwierdzoną certyfikatem CE.</w:t>
            </w:r>
          </w:p>
          <w:p w:rsidR="00CE75D2" w:rsidRPr="00061C69" w:rsidRDefault="00CE75D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eastAsia="Calibri" w:hAnsi="Verdana"/>
                <w:color w:val="000000" w:themeColor="text1"/>
                <w:sz w:val="18"/>
                <w:szCs w:val="18"/>
              </w:rPr>
              <w:t>Urz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ądzenie do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</w:rPr>
              <w:t>sous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 vide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Urz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ądzenie do gotowania potraw zapakowanych w woreczki próżniowe - potrawy gotowane są w kąpieli wodnej w temperaturze poniżej 100 °C </w:t>
            </w:r>
          </w:p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Wymiary: długość 330 mm, szerokość 600 mm, wysokość 300 mm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</w:rPr>
              <w:t xml:space="preserve"> 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(dopuszczalne odchylenie każdego z wymiarów +/-  do 20%)</w:t>
            </w:r>
          </w:p>
          <w:p w:rsidR="00D66FB6" w:rsidRPr="00061C69" w:rsidRDefault="00D66FB6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Moc minimalna 600W</w:t>
            </w:r>
          </w:p>
          <w:p w:rsidR="00D66FB6" w:rsidRPr="00061C69" w:rsidRDefault="00D66FB6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Pojemność minimalna 20L</w:t>
            </w:r>
          </w:p>
          <w:p w:rsidR="00D66FB6" w:rsidRPr="00061C69" w:rsidRDefault="00D66FB6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Napięcie: 230V</w:t>
            </w:r>
          </w:p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Obudowa wykonana w całości ze stali chromowej.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Pokrywa ze stali nierdzewnej z uszczelką silikonową.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Termostat z możliwością regulacji temperatury co 0,1 °C (45 - 90°C)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Wyposażenie: separator, 6 przekładek,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>pokrywa ze stali nierdzewnej.</w:t>
            </w:r>
          </w:p>
          <w:p w:rsidR="00CE75D2" w:rsidRPr="00061C69" w:rsidRDefault="00F67005" w:rsidP="005E1C30">
            <w:pPr>
              <w:spacing w:after="0"/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eastAsia="Calibri" w:hAnsi="Verdana"/>
                <w:color w:val="000000" w:themeColor="text1"/>
                <w:sz w:val="18"/>
                <w:szCs w:val="18"/>
              </w:rPr>
              <w:t>Urządzenie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  posiadać zgodność z obowiązującymi normami potwierdzoną certyfikatem CE.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                                                                 </w:t>
            </w:r>
          </w:p>
          <w:p w:rsidR="005E1C30" w:rsidRPr="00061C69" w:rsidRDefault="005E1C30" w:rsidP="005E1C30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Pakowarka próżniowa (komorowa)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 ogólny: profesjonalna pakowarka próżniowa komorowa, możliwość pakowania produktów spożywczych, artykułów przemysłowych oraz artykułów chemicznych (z wyłączeniem artykułów łatwopalnych, agresywnych chemicznie oraz niebezpiecznych). Zastosowana w urządzeniu technika pakowania ma polegać na wytworzeniu próżni wewnątrz woreczka stanowiącego opakowanie towaru i wykonaniu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zgrzewu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zamykającego.                                                 </w:t>
            </w:r>
          </w:p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Wymiary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: szerokość 480 mm, g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>łębokość 330 mm, w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ysokość 320 mm</w:t>
            </w:r>
            <w:r w:rsidR="00D66FB6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8A069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(dopuszczalne odchylenie każdego z wymiarów +/-  do 20%)</w:t>
            </w:r>
          </w:p>
          <w:p w:rsidR="00CE75D2" w:rsidRPr="00061C69" w:rsidRDefault="00082AA1" w:rsidP="00082AA1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Minimalne w</w:t>
            </w:r>
            <w:r w:rsidR="00F67005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ymiary wewnętrzne: wewnętrzna szerokość 385 mm, w</w:t>
            </w:r>
            <w:r w:rsidR="00F67005" w:rsidRPr="00061C69">
              <w:rPr>
                <w:rFonts w:ascii="Verdana" w:hAnsi="Verdana"/>
                <w:color w:val="000000" w:themeColor="text1"/>
                <w:sz w:val="18"/>
              </w:rPr>
              <w:t xml:space="preserve">ewnętrzna głębokość 280 mm, </w:t>
            </w:r>
            <w:r w:rsidR="00F67005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wewnętrzna wysokość 90 mm</w:t>
            </w:r>
            <w:r w:rsidR="008A069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F67005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Waga: max 40.00 kg 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Długość listwy zgrzewającej</w:t>
            </w:r>
            <w:r w:rsidR="008A0690" w:rsidRPr="00061C69">
              <w:rPr>
                <w:rFonts w:ascii="Verdana" w:hAnsi="Verdana"/>
                <w:color w:val="000000" w:themeColor="text1"/>
                <w:sz w:val="18"/>
              </w:rPr>
              <w:t xml:space="preserve"> minimum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 [mm] 260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Wydajność cykli 1-2 min.</w:t>
            </w:r>
          </w:p>
          <w:p w:rsidR="00CE75D2" w:rsidRPr="00061C69" w:rsidRDefault="00F67005">
            <w:pPr>
              <w:spacing w:after="0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Wydajność pompy</w:t>
            </w:r>
            <w:r w:rsidR="008A069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minimum  10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[m3/h]</w:t>
            </w:r>
          </w:p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Moc elektryczna</w:t>
            </w:r>
            <w:r w:rsidR="008A069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minimum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370 W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Wyposażenie niezbędne: sterownik mikroprocesorowy, manometr zegarowy, zestaw czcionek oraz dwustronna lista zgrzewającą. 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Akcesoria eksploatacyjne: butelka oleju do pompy próżniowej, zapasowa uszczelka pokrywy komory próżniowej, zapasowe elementy listwy grzewczej oraz taśmę grzewczą i taśmę ochronną z tkaniny i teflonowej 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Funkcje: funkcje automatycznego uruchomienia cyklu pakowania przez zamknięcie pokrywy komory pakowarki, możliwość umieszczenia informacji o dacie pakowania towaru, dacie przydatności do użycia, czy nazwie producenta na linii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zgrzewu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  <w:p w:rsidR="005E1C30" w:rsidRPr="00061C69" w:rsidRDefault="00F67005" w:rsidP="005E1C30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eastAsia="Calibri" w:hAnsi="Verdana"/>
                <w:color w:val="000000" w:themeColor="text1"/>
                <w:sz w:val="18"/>
                <w:szCs w:val="18"/>
              </w:rPr>
              <w:t>Urządzenie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  posiadać zgodność z obowiązującymi normami potwierdzoną certyfikatem CE.</w:t>
            </w:r>
          </w:p>
          <w:p w:rsidR="00CE75D2" w:rsidRPr="00061C69" w:rsidRDefault="00F67005" w:rsidP="005E1C30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20"/>
                <w:szCs w:val="20"/>
              </w:rPr>
              <w:t>Kostkarka do lodu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pl-PL"/>
              </w:rPr>
              <w:t>Charakterystyka:  parownik oraz system dystrybucji wody i  system natryskiwania wody zapewniający pokrycie parownika, zwiększona produkcje kostek. Parownik łatwy do wyjęcia z maszyny w celu czyszczenia. Zoptymalizowane proporcje wydajności i wymiarów. Łatwy montaż w nietypowym miejscu, pod barem. Termostaty regulujące rozmiar kostki i poziom lodu w zbiorniku instalowane na panelu przednim ułatwiające regulację kluczowych parametrów pracy kostkarki. Wałki w drzwiczkach i uszczelka w drzwiach ( zapewnienie gładkich i cichych ruchów przy zamykaniu i otwieraniu drzwiczek). Możliwość  poprowadzenia instalacji odpowiednio do potrzeb  przez otwory w panelach bocznych oraz przez panel podstawy.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pl-PL"/>
              </w:rPr>
            </w:pPr>
            <w:r w:rsidRPr="00061C69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pl-PL"/>
              </w:rPr>
              <w:t>Dane techniczne: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Skraplacz: chłodzony wodą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Wydajność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minimalna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:48 kg/24h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Pojemność zbiornika na lód: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minimum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22 kg</w:t>
            </w:r>
          </w:p>
          <w:p w:rsidR="00082AA1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Wymiary: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szer. 467 mm głęb. 570 mm wys. 912 mm z nóżkami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Zasilanie:230/50/1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Czynnik chłodniczy:R404A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Zużycie wody: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maksimum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40 l/h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Zużycie energii elektrycznej: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maksymalnie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8 kWh/24h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Waga netto:38 kg</w:t>
            </w:r>
            <w:r w:rsidR="00082AA1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wagi +/-  do 20%)</w:t>
            </w:r>
          </w:p>
          <w:p w:rsidR="00D94E84" w:rsidRPr="00061C69" w:rsidRDefault="00D94E84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Ekspres ci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>śnieniowy do kawy z młynkiem</w:t>
            </w:r>
          </w:p>
          <w:p w:rsidR="00CE75D2" w:rsidRPr="00061C69" w:rsidRDefault="00CE75D2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EKSPRES DO KAWY KOLBOWY  2-GRUPOWY, ELEKTRONICZNY</w:t>
            </w:r>
          </w:p>
          <w:p w:rsidR="005E1C30" w:rsidRPr="00061C69" w:rsidRDefault="00F67005">
            <w:pPr>
              <w:rPr>
                <w:rFonts w:ascii="Verdana" w:hAnsi="Verdana"/>
                <w:color w:val="000000" w:themeColor="text1"/>
                <w:sz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Ekspres do kawy przeznaczony do kształcenia uczniów  - przyszłych baristów i  pracowników w różnych obiektach gastronomicznych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</w:rPr>
              <w:t>.</w:t>
            </w:r>
          </w:p>
          <w:p w:rsidR="00CE75D2" w:rsidRPr="00061C69" w:rsidRDefault="00F67005">
            <w:pPr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Dwugrupowy, kolbowy ekspres do kawy powinien charakteryzować się nowoczesną technologią, być wykonanym z trwałych i wysokiej jakości  materiałów, starannością i dokładnością wykonania, współczesny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designe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 pojemność ok. 10,5l, wyposażony w elektryczny podgrzewacz do filiżanek, podwyższoną grupę umożliwiającą przygotowanie napojów również w wyższych filiżankach oraz oświetlony blat roboczy. </w:t>
            </w:r>
          </w:p>
          <w:p w:rsidR="00D94E84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Wymiary 745x525x(H)511 mm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każdego z wymiarów +/-  do 20%)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waga kg do : 63,5 kg,                                                         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Moc grzewcza 3900 W zarówno przy zasilaniu prądem 400 V  oraz 230V:                                 Maksymalna wysokość filiżanki  do napoju  -  do 122 mm,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−Programowanie do 4 kaw na każdą z dwóch grup  w systemie wolumetrycznym (objętościowym)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Dodatkowe przyciski dozowania ręcznego, po 1 na każdą grupę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Przycisk dozowania gorącej wody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− 2 niezależne dysze pary ze stali nierdzewnej sterowane za pomocą wygodnego pokrętła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Dysze pary izolowane gumową nasadką zapobiegającą poparzeniu palców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Dysza gorącej wody sterowana przyciskiem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Elektryczny podgrzewacz do filiżanek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Oświetlenie  LED  blatu roboczego ułatwiające pracę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Wbudowana pompa rotacyjna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Bojler o pojemności 10,5 l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−Automatyczne uzupełnianie wody w bojlerze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Manometry ciśnienia wody w bojlerze i pompie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Opuszczana półeczka zmniejszająca wysokość grupy do 82 mm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− Maksymalna wysokość grupy przy uniesionej półeczce 122 mm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Wykonany z wysokogatunkowych materiałów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− Obudowa wykonana ze stali w kolorze srebrnym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− Regulowane nóżki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MŁYNEK w zestawie z ekspresem:</w:t>
            </w:r>
          </w:p>
          <w:p w:rsidR="00CE75D2" w:rsidRPr="00061C69" w:rsidRDefault="00F67005">
            <w:pPr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Specyfikacja:− Obudowa stalowa − Widelec uchwytu filtra − Pojemnik na kawę ziarnistą: 1,5 kg − Żarna ze stali nierdzewnej Ř64 mm − Ilość obrotów żaren: 1350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obr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./min − Sugerowana  wydajność: do 2 kg/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dobe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− Funkcja kontroli zużycia żaren informująca  o konieczności ich wymiany,  Precyzyjne ustawianie grubości mielenia (płynna regulacja z podziałką) − 3 tryby mielenia: • Doza dla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pojedyńczej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kawy • Mielenie ręczne ciągłe • Doza dla podwójnej kawy − Regulacja porcji (dozy): czasowa − Dotykowy kolorowy wyświetlacz LCD pokazujący: • Temperaturę i wilgotność otoczenia • Ilość kaw przygotowanych w ciągu dnia, tygodnia oraz podczas całego</w:t>
            </w:r>
            <w:r w:rsidRPr="00061C69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okresu eksploatacji • Godzinę oraz datę • Wybrany tryb mielenia − K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</w:rPr>
              <w:t>ontrolka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 LED informująca o pracy urządzenia (włączony/wyłączony) − Silnik urządzenia zabezpieczony wyłącznikiem termicznym chroniącym przed przegrzaniem.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Parametry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Wymiar: 230x270x(h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)615 mm, moc 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</w:rPr>
              <w:t xml:space="preserve"> minimalna 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>(W) 350 W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Napięcie 230V,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Głośność pracy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</w:rPr>
              <w:t xml:space="preserve"> do 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>: 78db( A)</w:t>
            </w:r>
          </w:p>
          <w:p w:rsidR="00CE75D2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Waga: 13kg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</w:rPr>
              <w:t xml:space="preserve"> 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(dopuszczalne odchylenie wagi +/-  do 20%)</w:t>
            </w:r>
          </w:p>
          <w:p w:rsidR="00B97F3D" w:rsidRPr="00061C69" w:rsidRDefault="00B97F3D">
            <w:pPr>
              <w:spacing w:after="0"/>
              <w:rPr>
                <w:rFonts w:ascii="Verdana" w:hAnsi="Verdana"/>
                <w:color w:val="000000" w:themeColor="text1"/>
              </w:rPr>
            </w:pPr>
            <w:bookmarkStart w:id="0" w:name="_GoBack"/>
            <w:bookmarkEnd w:id="0"/>
          </w:p>
          <w:p w:rsidR="00CE75D2" w:rsidRPr="00061C69" w:rsidRDefault="00CE75D2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20"/>
                <w:szCs w:val="20"/>
              </w:rPr>
              <w:t>Kuchenka mikrofalowa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Kuchenka mikrofalowa o 3 poziomach mocy z dostosowaniem intensywności grzania do podgrzewanej aktualnie potrawy. 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Powinna być wyposażona w ceramiczną półkę dzięki, której posiłki mogą być obrabiane termicznie na 2 poziomach. 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Kuchenka powinna posiadać opcję zapamiętania 10 programów w 3 krokach oraz 10 programów w 1 kroku.           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Pojemność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minimum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30 litowa komora</w:t>
            </w:r>
          </w:p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Wymiary  374x378x224 mm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każdego z wymiarów +/-  do 20%)</w:t>
            </w:r>
          </w:p>
          <w:p w:rsidR="00CE75D2" w:rsidRDefault="00F67005">
            <w:pPr>
              <w:rPr>
                <w:rFonts w:ascii="Verdana" w:hAnsi="Verdana"/>
                <w:color w:val="000000" w:themeColor="text1"/>
                <w:sz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</w:rPr>
              <w:t>Moc elektryczna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</w:rPr>
              <w:t xml:space="preserve"> minimalna</w:t>
            </w:r>
            <w:r w:rsidRPr="00061C69">
              <w:rPr>
                <w:rFonts w:ascii="Verdana" w:hAnsi="Verdana"/>
                <w:color w:val="000000" w:themeColor="text1"/>
                <w:sz w:val="18"/>
              </w:rPr>
              <w:t xml:space="preserve"> 1800 W</w:t>
            </w:r>
          </w:p>
          <w:p w:rsidR="00B97F3D" w:rsidRPr="00061C69" w:rsidRDefault="00B97F3D">
            <w:pPr>
              <w:rPr>
                <w:color w:val="000000" w:themeColor="text1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color w:val="000000" w:themeColor="text1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061C69" w:rsidRPr="00061C69">
        <w:tc>
          <w:tcPr>
            <w:tcW w:w="671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2692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Zmywarka do szkła</w:t>
            </w:r>
          </w:p>
        </w:tc>
        <w:tc>
          <w:tcPr>
            <w:tcW w:w="8789" w:type="dxa"/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ZMYWARKA PODBLATOWA do szkła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Urządzenie przeznaczone do celów edukacyjnych mycia przede wszystkim szkła, ale również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sztucców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 drobnych naczyń, charakteryzująca najnowocześniejszymi  rozwiązaniami ekonomicznymi i pro środowiskowymi, oszczędności wody, 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ś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rodków chemicznych oraz energii  w postaci odzysku ciepła i pary,   automatyzacją oraz prostym oznakowaniem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realizoawanych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zadań i cyklów w postaci oznaczeń w postaci piktogramów zrozumiałych dla wszystkich uczniów i słuchaczy niezależnie od ich poziomu intelektualnego,  sposobu i języka  komunikowania się;  niezawodnością pracy i  bardzo łatwą oraz bezpieczną obsługą przez uczniów, starannością wykonania trwałymi materiałami bardzo wysokiej jakości. Niski poziom emisji hałasu do 55-57dB  Obsługa zmywarki powinna być prosta i  zautomatyzowana, tzn. jednym przyciskiem uruchamiającym całość pracy,  kodowanymi kolorami informującymi o obecnym stanie i etapie  pracy maszyny. Panel sterowania maszyny  wyposażony w przynajmniej  3-4 programy mycia (szkła, sztućców i naczyń,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naczyn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bistro) , 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równiez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z objaśnieniami  za pomocą  ikon,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umozliwiajacych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intuicyjną,bezbłędną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obsługę.Zmywarka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wyposażona  w regulację ciśnienia wody z dostosowaniem  ciśnienia wody do rodzaju zmywanych naczyń i stopnia ich zabrudzenia Ze względu na kształtowanie u uczniów  zasad zrównoważonego rozwoju i ochronę środowiska  oraz działań związanych z ochroną klimatu zmywarka powinna posiadać programy specjalnie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spełniajace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te wymagania, a więc  umożliwiające odzysk energii w postaci odzysku ciepła i pary(Energy)  oraz program samooczyszczania, a także   system odwróconej osmozy lub zmiękczania wody. Urządzenie powinno również poprzez specjalne oprogramowanie  dawać możliwości dodatkowego indywidualnego skonfigurowania parametrów mycia maszyny np. typu mycia,  wydajności w zależności od potrzeb.   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Urządzenie powinno by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ć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wolnostojące, ale jednocześnie dostosowane do wymiarów  urządzeń za ladą barową w pracowni konsumenta - zmywarka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podblatowa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Wymiary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Szerokość x głębokość: 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do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600 x 657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Wysokość:   905 – 940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Głębokość z otwartymi drzwiami: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do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1.034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Wielkość kosza:   500 x 500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Wysokość wejścia:   404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Przyłącze wody:   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G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362F5B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¾”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Odpływ:    </w:t>
            </w:r>
            <w:r w:rsidR="005E1C30" w:rsidRPr="00061C69">
              <w:rPr>
                <w:color w:val="000000" w:themeColor="text1"/>
              </w:rPr>
              <w:t>ø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39,7 mm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Maksymalna wydajność teoretyczna zmywarki w poszczególnych opcjach oraz czas trwania   cykli mycia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Maszyna do szkła:  77 / 48 / 32 / 22 (koszy / h);   cykl mycia:   47 – 163sek.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Maszyna do naczyń:  66 / 40 / 28 / 24 (koszy / h);  cykl mycia:    54 – 150 sek.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Maszyna do naczyń bistro:  66 / 40 / 32 / 28 (koszy / h);  cykl mycia:    54 – 128 sek.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Maszyna do sztućców:  21 / 11 (koszy / h);   cykl mycia:   w:  171 – 327 sek.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Wbudowany dozownik płynu myjącego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Wbudowany dozownik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nabłyszczacza</w:t>
            </w:r>
            <w:proofErr w:type="spellEnd"/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Zintegrowane pojemniki na płyn myjący i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nabłyszczacz</w:t>
            </w:r>
            <w:proofErr w:type="spellEnd"/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Wyłącznik drzwiowy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Możliwość montażu pod blatem lub wolnostojącego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Odzysk ciepła „Energy“ (85 mm wyższa i , oszczędność energii do 0,1 kWh na cykl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co przełoży się na - zredukowane temperatury zbiornika i bojlera:                                                  (45°C / 50°C w maszynach do szkła;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55°C / 60°C w maszynach do naczyń)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Cool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(płukanie zimną wodą dla uzyskania zimnego szkła)                                                                     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Zmiękczacz do wody  lub  system odwróconej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osmsozy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Lance ssące z kontrolą poziomu płynu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Zdalny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przesył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danych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certyfikat zgodno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ś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ci CB, SVGW, WRAS,       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możliwość pracy przy zasilaniu pr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ą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dem  230 i 400V</w:t>
            </w:r>
          </w:p>
          <w:p w:rsidR="00CE75D2" w:rsidRPr="00061C69" w:rsidRDefault="00CE75D2">
            <w:pPr>
              <w:spacing w:after="0"/>
              <w:rPr>
                <w:rFonts w:ascii="Verdana" w:hAnsi="Verdana"/>
                <w:color w:val="000000" w:themeColor="text1"/>
                <w:sz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CE75D2" w:rsidRPr="00061C69" w:rsidRDefault="00CE75D2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CE75D2" w:rsidRPr="00061C69">
        <w:tc>
          <w:tcPr>
            <w:tcW w:w="671" w:type="dxa"/>
            <w:tcBorders>
              <w:top w:val="nil"/>
            </w:tcBorders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Patelnia elektryczna</w:t>
            </w:r>
          </w:p>
        </w:tc>
        <w:tc>
          <w:tcPr>
            <w:tcW w:w="8789" w:type="dxa"/>
            <w:tcBorders>
              <w:top w:val="nil"/>
            </w:tcBorders>
            <w:shd w:val="clear" w:color="auto" w:fill="auto"/>
          </w:tcPr>
          <w:p w:rsidR="00CE75D2" w:rsidRPr="00061C69" w:rsidRDefault="00F67005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Patelnia elektryczna uchylna z pokrywą, 50 l,</w:t>
            </w:r>
          </w:p>
          <w:p w:rsidR="00D94E84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Opis: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urządzenie przeznaczone do celów edukacyjnych do wieloporcjowego smażenia i duszenia potraw charakteryzująca nowoczesnością i automatyzacją, niezawodnością, starannością wykonania i łatwą oraz bezpieczną obsługą przez uczniów, trwałymi materiałami bardzo wysokiej jakości                             </w:t>
            </w:r>
          </w:p>
          <w:p w:rsidR="00D94E84" w:rsidRPr="00061C69" w:rsidRDefault="00D94E84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WŁAŚCIWOŚCI: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• nierdzewna wanna - dno ze specjalnego stopu stali o grubości 12 mm, nie ulegaj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ą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ce porysowaniu  wielkość wanny 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maksymalnie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720*465*200mm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• przeznaczona do smażenia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• idealne, równomierne rozprowadzanie ciepła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• nowy, udoskonalony kształt leja - umożliwiający szybkie i wygodne opróżnianie patelni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• nierdzewna uchylna pokrywa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• automatyczne elektryczne uchylanie wanny 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• zawór do napuszczania wody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DANE TECHNICZNE:</w:t>
            </w:r>
          </w:p>
          <w:p w:rsidR="00CE75D2" w:rsidRPr="00061C69" w:rsidRDefault="00F67005">
            <w:pPr>
              <w:spacing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Długość 800 mm, szerokość 700 mm, wysokość 900 mm, pojemność 50 l,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maksymalnie: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długoś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ć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komory 72 mm, szerokoś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ć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komory 46,5 mm, wysokoś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ć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komory 20 mm,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moc całkowita 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maksymalnie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10,5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kw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, napięcie 400 v, temperatura minimalna 50 c, temperatura max 300 c, waga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135 kg</w:t>
            </w:r>
            <w:r w:rsidR="00D94E84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(dopuszczalne odchylenie wagi +/-  do 20%) 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, iloś</w:t>
            </w:r>
            <w:r w:rsidR="005E1C30"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ć</w:t>
            </w:r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komór 1 </w:t>
            </w:r>
            <w:proofErr w:type="spellStart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061C69">
              <w:rPr>
                <w:rFonts w:ascii="Verdana" w:hAnsi="Verdana"/>
                <w:color w:val="000000" w:themeColor="text1"/>
                <w:sz w:val="18"/>
                <w:szCs w:val="18"/>
              </w:rPr>
              <w:t>, materiał stal nierdzewna, zasilanie elektryczne.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</w:tcPr>
          <w:p w:rsidR="00CE75D2" w:rsidRPr="00061C69" w:rsidRDefault="00CE75D2">
            <w:pPr>
              <w:spacing w:after="0"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:rsidR="005E1C30" w:rsidRPr="00061C69" w:rsidRDefault="005E1C30">
      <w:pPr>
        <w:pStyle w:val="Bezodstpw"/>
        <w:rPr>
          <w:color w:val="000000" w:themeColor="text1"/>
          <w:sz w:val="18"/>
          <w:szCs w:val="18"/>
        </w:rPr>
      </w:pPr>
    </w:p>
    <w:p w:rsidR="005E1C30" w:rsidRPr="00061C69" w:rsidRDefault="005E1C30">
      <w:pPr>
        <w:pStyle w:val="Bezodstpw"/>
        <w:rPr>
          <w:color w:val="000000" w:themeColor="text1"/>
          <w:sz w:val="18"/>
          <w:szCs w:val="18"/>
        </w:rPr>
      </w:pPr>
    </w:p>
    <w:p w:rsidR="00CE75D2" w:rsidRPr="00061C69" w:rsidRDefault="00F67005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061C69">
        <w:rPr>
          <w:rFonts w:ascii="Verdana" w:hAnsi="Verdana"/>
          <w:color w:val="000000" w:themeColor="text1"/>
          <w:sz w:val="18"/>
          <w:szCs w:val="18"/>
        </w:rPr>
        <w:t>…………………………………….,…………………</w:t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…………………………………………………………</w:t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  <w:t xml:space="preserve">      …………………………………………………………………</w:t>
      </w:r>
    </w:p>
    <w:p w:rsidR="00CE75D2" w:rsidRPr="00061C69" w:rsidRDefault="00F67005" w:rsidP="005E1C3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061C69">
        <w:rPr>
          <w:rFonts w:ascii="Verdana" w:hAnsi="Verdana"/>
          <w:color w:val="000000" w:themeColor="text1"/>
          <w:sz w:val="18"/>
          <w:szCs w:val="18"/>
        </w:rPr>
        <w:t>(miejscowość, data)</w:t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  <w:t xml:space="preserve"> (pieczęć nagłówkowa) </w:t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</w:r>
      <w:r w:rsidRPr="00061C69">
        <w:rPr>
          <w:rFonts w:ascii="Verdana" w:hAnsi="Verdana"/>
          <w:color w:val="000000" w:themeColor="text1"/>
          <w:sz w:val="18"/>
          <w:szCs w:val="18"/>
        </w:rPr>
        <w:tab/>
        <w:t xml:space="preserve"> (pieczęć imienna wraz z podpisem)</w:t>
      </w:r>
    </w:p>
    <w:sectPr w:rsidR="00CE75D2" w:rsidRPr="00061C69">
      <w:headerReference w:type="default" r:id="rId7"/>
      <w:pgSz w:w="16838" w:h="11906" w:orient="landscape"/>
      <w:pgMar w:top="2211" w:right="1418" w:bottom="851" w:left="1418" w:header="21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96" w:rsidRDefault="00544596">
      <w:pPr>
        <w:spacing w:after="0" w:line="240" w:lineRule="auto"/>
      </w:pPr>
      <w:r>
        <w:separator/>
      </w:r>
    </w:p>
  </w:endnote>
  <w:endnote w:type="continuationSeparator" w:id="0">
    <w:p w:rsidR="00544596" w:rsidRDefault="0054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96" w:rsidRDefault="00544596">
      <w:pPr>
        <w:spacing w:after="0" w:line="240" w:lineRule="auto"/>
      </w:pPr>
      <w:r>
        <w:separator/>
      </w:r>
    </w:p>
  </w:footnote>
  <w:footnote w:type="continuationSeparator" w:id="0">
    <w:p w:rsidR="00544596" w:rsidRDefault="0054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5D2" w:rsidRDefault="00F67005">
    <w:pPr>
      <w:pStyle w:val="Nagwek"/>
    </w:pP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margin">
            <wp:posOffset>1071245</wp:posOffset>
          </wp:positionH>
          <wp:positionV relativeFrom="paragraph">
            <wp:posOffset>-843915</wp:posOffset>
          </wp:positionV>
          <wp:extent cx="6477000" cy="457200"/>
          <wp:effectExtent l="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2"/>
    <w:rsid w:val="00061C69"/>
    <w:rsid w:val="00082AA1"/>
    <w:rsid w:val="000F079A"/>
    <w:rsid w:val="00362F5B"/>
    <w:rsid w:val="003F68B2"/>
    <w:rsid w:val="00544596"/>
    <w:rsid w:val="005E1C30"/>
    <w:rsid w:val="00680610"/>
    <w:rsid w:val="008A0690"/>
    <w:rsid w:val="00A25A4B"/>
    <w:rsid w:val="00B97F3D"/>
    <w:rsid w:val="00CE75D2"/>
    <w:rsid w:val="00CF2952"/>
    <w:rsid w:val="00D66FB6"/>
    <w:rsid w:val="00D94E84"/>
    <w:rsid w:val="00F67005"/>
    <w:rsid w:val="00F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AD34"/>
  <w15:docId w15:val="{9766F357-15F9-4287-A91D-B870AF3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F14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27517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32751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9C6C46"/>
    <w:rPr>
      <w:sz w:val="22"/>
    </w:rPr>
  </w:style>
  <w:style w:type="paragraph" w:styleId="Akapitzlist">
    <w:name w:val="List Paragraph"/>
    <w:basedOn w:val="Normalny"/>
    <w:uiPriority w:val="34"/>
    <w:qFormat/>
    <w:rsid w:val="00944CDF"/>
    <w:pPr>
      <w:spacing w:after="160" w:line="259" w:lineRule="auto"/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2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F53C1-2044-4882-89F1-448B17AD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Igor Wysocki</cp:lastModifiedBy>
  <cp:revision>6</cp:revision>
  <cp:lastPrinted>2020-06-02T11:19:00Z</cp:lastPrinted>
  <dcterms:created xsi:type="dcterms:W3CDTF">2020-08-13T06:47:00Z</dcterms:created>
  <dcterms:modified xsi:type="dcterms:W3CDTF">2020-09-29T12:28:00Z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